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综合</w:t>
      </w:r>
      <w:r>
        <w:rPr>
          <w:rStyle w:val="7"/>
          <w:rFonts w:hint="eastAsia" w:cs="Arial" w:asciiTheme="minorEastAsia" w:hAnsiTheme="minorEastAsia" w:eastAsiaTheme="minorEastAsia"/>
          <w:color w:val="666666"/>
          <w:sz w:val="28"/>
          <w:szCs w:val="28"/>
          <w:lang w:eastAsia="zh-CN"/>
        </w:rPr>
        <w:t>考试</w:t>
      </w:r>
      <w:r>
        <w:rPr>
          <w:rStyle w:val="7"/>
          <w:rFonts w:hint="eastAsia" w:cs="Arial" w:asciiTheme="minorEastAsia" w:hAnsiTheme="minorEastAsia" w:eastAsiaTheme="minorEastAsia"/>
          <w:color w:val="666666"/>
          <w:sz w:val="28"/>
          <w:szCs w:val="28"/>
        </w:rPr>
        <w:t>（87</w:t>
      </w: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7</w:t>
      </w:r>
      <w:r>
        <w:rPr>
          <w:rStyle w:val="7"/>
          <w:rFonts w:hint="eastAsia" w:cs="Arial" w:asciiTheme="minorEastAsia" w:hAnsiTheme="minorEastAsia" w:eastAsiaTheme="minorEastAsia"/>
          <w:color w:val="666666"/>
          <w:sz w:val="28"/>
          <w:szCs w:val="28"/>
        </w:rPr>
        <w:t>）考试大纲</w:t>
      </w:r>
    </w:p>
    <w:p>
      <w:pPr>
        <w:pStyle w:val="4"/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一</w:t>
      </w:r>
      <w:r>
        <w:rPr>
          <w:rStyle w:val="7"/>
          <w:rFonts w:hint="eastAsia" w:cs="Arial" w:asciiTheme="minorEastAsia" w:hAnsiTheme="minorEastAsia" w:eastAsiaTheme="minorEastAsia"/>
          <w:color w:val="666666"/>
          <w:sz w:val="28"/>
          <w:szCs w:val="28"/>
        </w:rPr>
        <w:t>、</w:t>
      </w: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法理学考试大纲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第一编　法理学导论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第一章 法学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第二章 法理学的性质与对象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第三章 马克思主义法理学的</w:t>
      </w:r>
      <w:bookmarkStart w:id="1" w:name="_GoBack"/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产生</w:t>
      </w:r>
      <w:bookmarkEnd w:id="1"/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与发展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第二编　法理学基本概念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第四章 法、法律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第五章 法的渊源、分类和效力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第六章法律体系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第七章 法的要素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第八章 权利和义务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第九章 法律行为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第十章 法律关系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第十一章 法律责任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第三编　法的起源和发展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第十二章 法的历史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第十三章 法律演进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第十四章 全球化与世界法律发展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第四编　法 的 运 行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第十五章 法的制定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第十六章 法的实施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第十七章 法律程序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第十八章 法律职业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第十九章 法律方法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第五编　法 的 价 值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第二十章 法的价值概述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第二十一章 法的基本价值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第二十二章 法与人权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666666"/>
          <w:sz w:val="28"/>
          <w:szCs w:val="28"/>
        </w:rPr>
        <w:t>第六编　法治与法治中国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第二十三章 法治原理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第二十四章 法治与经济和科技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第二十五章 法治与社会发展</w:t>
      </w:r>
    </w:p>
    <w:p>
      <w:pPr>
        <w:pStyle w:val="4"/>
        <w:rPr>
          <w:rFonts w:cs="Arial" w:asciiTheme="minorEastAsia" w:hAnsiTheme="minorEastAsia" w:eastAsiaTheme="minorEastAsia"/>
          <w:color w:val="666666"/>
          <w:sz w:val="28"/>
          <w:szCs w:val="28"/>
        </w:rPr>
      </w:pPr>
      <w:r>
        <w:rPr>
          <w:rFonts w:cs="Arial" w:asciiTheme="minorEastAsia" w:hAnsiTheme="minorEastAsia" w:eastAsiaTheme="minorEastAsia"/>
          <w:color w:val="666666"/>
          <w:sz w:val="28"/>
          <w:szCs w:val="28"/>
        </w:rPr>
        <w:t>第二十六章 全面依法治国 建设法治中国</w:t>
      </w:r>
    </w:p>
    <w:p>
      <w:pPr>
        <w:rPr>
          <w:rFonts w:cs="Arial" w:asciiTheme="minorEastAsia" w:hAnsiTheme="minorEastAsia"/>
          <w:color w:val="666666"/>
          <w:sz w:val="28"/>
          <w:szCs w:val="28"/>
        </w:rPr>
      </w:pPr>
      <w:r>
        <w:rPr>
          <w:rFonts w:cs="Arial" w:asciiTheme="minorEastAsia" w:hAnsiTheme="minorEastAsia"/>
          <w:color w:val="666666"/>
          <w:sz w:val="28"/>
          <w:szCs w:val="28"/>
        </w:rPr>
        <w:t>二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、</w:t>
      </w:r>
      <w:r>
        <w:rPr>
          <w:rFonts w:cs="Arial" w:asciiTheme="minorEastAsia" w:hAnsiTheme="minorEastAsia"/>
          <w:color w:val="666666"/>
          <w:sz w:val="28"/>
          <w:szCs w:val="28"/>
        </w:rPr>
        <w:t>知识产权法考试大纲</w:t>
      </w:r>
    </w:p>
    <w:p>
      <w:pPr>
        <w:rPr>
          <w:rFonts w:cs="Arial" w:asciiTheme="minorEastAsia" w:hAnsiTheme="minorEastAsia"/>
          <w:color w:val="666666"/>
          <w:sz w:val="28"/>
          <w:szCs w:val="28"/>
        </w:rPr>
      </w:pPr>
      <w:r>
        <w:rPr>
          <w:rFonts w:cs="Arial" w:asciiTheme="minorEastAsia" w:hAnsiTheme="minorEastAsia"/>
          <w:color w:val="666666"/>
          <w:sz w:val="28"/>
          <w:szCs w:val="28"/>
        </w:rPr>
        <w:t>第一编 绪论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章 知识产权法导论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 xml:space="preserve">  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 知识产权的概念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知识产权的对象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知识产权的分类、性质以及与其他民事财产权利的区别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知识产权法与民法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知识产权制度的作用、历史、现状与发展趋势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第二编 著作权法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第二章 著作权法概述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**节 著作权和著作权法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著作权制度的起源与发展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我国著作权制度的历史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第三章 著作权的对象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节作品的概念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著作权法保护的作品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不受著作权法保护的对象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第四章 著作权的内容、取得和期间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节著作人身权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著作财产权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著作权的取得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著作权的期间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第五章 著作权的主体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节节 作者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著作权归属的一般原则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合作作品的著作权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职务作品的著作权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演绎作品与汇编作品的著作权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第六节 定作作品的著作权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第七节 视听作品的著作权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第八节 外国人作品在中国的著作权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第六章 邻接权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节邻接权的概念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表演者权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录音录像制作者的权利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广播电台、电视台播放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出版者的权利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第七章 著作权的利用和转移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节著作权的许可使用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著作权的转让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著作权的继承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著作权的其他利用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违反著作权合同的民事责任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第六节 著作权合同纠纷的调解、仲裁和诉讼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第八章 著作权的限制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著作权的“合理使用”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著作权的法定许可使用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著作权的强制许可使用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第九章 与著作权有关的行政管理和著作权的集体管理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与著作权有关的行政管理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著作权的集体管理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第十章 著作权的保护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侵犯著作权的民事责任和对侵犯著作权行为的司法措施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侵犯著作权的行政责任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侵犯著作权的刑事责任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第三编 专利法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第十一章 专利法概述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节专利法的历史与发展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中国专利制度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专利制度的特征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专利制度的有关假说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第十二章 专利权的对象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发明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实用新型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外观设计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第十三章 专利权产生的实质条件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消极条件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新颖性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创造性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实用性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第十四章 专利权产生的形式要件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专利申请的原则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专利申请文件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专利申请的提出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专利申请的审批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第十五章 专利权的内容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专利权的内容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专利权的效力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专利权人的义务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专利权的限制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专利实施许可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第十六章 专利权的主体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发明人、申请人和专利权人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职务发明人及其所在单位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专利权的归属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第十七章 专利权的保护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侵犯专利权的行为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专利纠纷的解决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侵犯专利权的法律责任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第四编 商标法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第十八章 商标法概述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商标概述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其他商业标记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商标法概述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商标法的基本原则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商标的起源与发展及我国商标法律制度之沿革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第十九章 商标权的对象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商标的分类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商标使用和注册的消极条件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注册商标的积极条件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第二十章 商标权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商标权的概念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商标权的内容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商标权的特征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商标权的主体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商标权人的义务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第六节 商标权的取得方式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第七节 我国商标权取得的原则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第二十一章 商标注册与注册商标的变动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商标注册的申请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商标注册的审查和核准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注册商标的期限、续展与变更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注册商标的转让和转移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注册商标的使用许可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第六节 注册商标的终止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第二十二章 注册商标无效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 xml:space="preserve">  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导致商标无效的情形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注册商标无效宣告的程序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注册商标无效的追溯力问题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第二十三章 商标评审与商标确权制度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商标评审委员会及商标评审的一般规定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商标复审裁决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商标确权与商标确权终审制度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第二十四章 驰名商标及其保护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驰名商标的概念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驰名商标的认定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驰名商标的保护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第二十五章 注册商标专用权的保护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注册商标专用权的保护范围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侵犯商标权的表现形式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认定侵犯商标权的几个问题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侵犯商标权的法律责任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第五编 反不正当竞争法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第二十六章 反不正当竞争法概述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不正当竞争概述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反不正当竞争法的起源和发展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反不正当竞争法和知识产权法的关系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第二十七章 不正当竞争行为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假冒行为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引人误解的虚假宣传行为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商业诋毁行为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侵犯商业秘密的行为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第二十八章 不正当竞争行为的法律责任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民事责任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行政责任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刑事责任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第六编 保护知识产权国际条约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第二十九章 保护知识产权国际条约概述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节保护知识产权国际条约的概念和特点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保护知识产权国际条约的分类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保护知识产权国际条约的影响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第三十章 关于知识产权保护的主要国际条约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666666"/>
          <w:sz w:val="28"/>
          <w:szCs w:val="28"/>
        </w:rPr>
        <w:t>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知识产权国际保护与生物多样性和传统知识的保护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第三十一章 《与贸易有关的知识产权协定》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《与贸易有关的知识产权协定》的基本原则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《与贸易有关的知识产权协定》规定的知识产权的内容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知识产权的实施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知识产权的取得、维持及相关程序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第六节 争端的防止和解决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第七节 过渡性安排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第八节 机构安排和*后条款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第三十二章 《保护工业产权巴黎公约》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《保护工业产权巴黎公约》的保护范围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《保护工业产权巴黎公约》的基本原则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《保护工业产权巴黎公约》的共同规则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第三十章 《保护文学艺术作品伯尔尼公约》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节《保护文学艺术作品伯尔尼公约》概述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《保护文学艺术作品伯尔尼公约》的保护对象的范围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第三节 《保护文学艺术作品伯尔尼公约》对著作权的限制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第四节 《保护文学艺术作品伯尔尼公约》对作者权利的保护期限及溯及力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第五节 《保护文学艺术作品伯尔尼公约》关于对发展中国家的优惠的规定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第三十四章 世界知识产权组织版权条约与表演和录音制品公约（1996年）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666666"/>
          <w:sz w:val="28"/>
          <w:szCs w:val="28"/>
        </w:rPr>
        <w:t>第一</w:t>
      </w:r>
      <w:r>
        <w:rPr>
          <w:rFonts w:cs="Arial" w:asciiTheme="minorEastAsia" w:hAnsiTheme="minorEastAsia"/>
          <w:color w:val="666666"/>
          <w:sz w:val="28"/>
          <w:szCs w:val="28"/>
        </w:rPr>
        <w:t>节《世界知识产权组织版权条约》的内容</w:t>
      </w:r>
      <w:r>
        <w:rPr>
          <w:rFonts w:cs="Arial" w:asciiTheme="minorEastAsia" w:hAnsiTheme="minorEastAsia"/>
          <w:color w:val="666666"/>
          <w:sz w:val="28"/>
          <w:szCs w:val="28"/>
        </w:rPr>
        <w:br w:type="textWrapping"/>
      </w:r>
      <w:r>
        <w:rPr>
          <w:rFonts w:cs="Arial" w:asciiTheme="minorEastAsia" w:hAnsiTheme="minorEastAsia"/>
          <w:color w:val="666666"/>
          <w:sz w:val="28"/>
          <w:szCs w:val="28"/>
        </w:rPr>
        <w:t>  第二节 《世界知识产权组织表演和录音制品公约》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三</w:t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、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民事诉讼法考试大纲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第一编总论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第一章民事诉讼与民事诉讼法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第一节民事纠纷及其解决机制的多元化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第二节民事诉讼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第三节民事诉讼法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第二章民事诉讼法的基本原则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第一节基本原则概述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第二节当事人诉讼权利平等原则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第三节辩论原则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第四节诚实信用原则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第五节处分原则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第六节法院调解原则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第七节民事检察监督原则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第三章民事审判基本制度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第二节公开审判制度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第三节合议制度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第四节回避制度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第五节两审终审制度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第四章民事诉权与诉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第一节民事诉权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第二节民事之诉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第三节诉的利益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第四节诉的标的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第五节反诉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第六节诉的合并和变更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第五章受案范围和管辖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第一节法院受理民事案件的范围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第二节我国法院的结构和职权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第三节管辖概述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第四节级别管辖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第五节地域管辖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第六节裁定管辖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第七节管辖权异议与管辖恒定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第六章民事诉讼参加人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第一节诉讼当事人概述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第二节共同诉讼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第三节代表人诉讼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第四节民事公益诉讼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第五节第三人诉讼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第六节诉讼代理人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第七章民事诉讼证据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第一节民事诉讼证据概述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第二节民事诉讼证据的种类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第三节证据保全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第四节人民法院调查收集证据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第八章证明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第一节证明对象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第二节证明责任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第三节证明标准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第四节举证时限与证据交换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第五节质证与认证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第六节证明妨碍及其救济与制裁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第九章诉讼保障机制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第一节期间与送达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第二节对妨害民事诉讼的强制措施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第三节保全与先予执行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第四节诉讼费用与司法救助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第二编诉讼程序论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第十章第一审普通程序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第一节第一审普通程序概述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第二节起诉和受理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第三节审前准备程序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第四节开庭审理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第五节案件审理中几种特殊情况的处理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第十一章法院调解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第一节法院调解概述</w:t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　　第二节法院调解的原则</w:t>
      </w:r>
      <w:r>
        <w:rPr>
          <w:rFonts w:cs="Arial" w:asciiTheme="minorEastAsia" w:hAnsiTheme="minorEastAsia"/>
          <w:color w:val="3366CC"/>
          <w:kern w:val="0"/>
          <w:sz w:val="28"/>
          <w:szCs w:val="28"/>
          <w:vertAlign w:val="superscript"/>
        </w:rPr>
        <w:t xml:space="preserve"> [1]</w:t>
      </w:r>
      <w:bookmarkStart w:id="0" w:name="ref_[1]_22852703"/>
      <w:r>
        <w:rPr>
          <w:rFonts w:cs="Arial" w:asciiTheme="minorEastAsia" w:hAnsiTheme="minorEastAsia"/>
          <w:color w:val="136EC2"/>
          <w:kern w:val="0"/>
          <w:sz w:val="28"/>
          <w:szCs w:val="28"/>
        </w:rPr>
        <w:t> </w:t>
      </w:r>
      <w:bookmarkEnd w:id="0"/>
      <w:r>
        <w:rPr>
          <w:rFonts w:cs="Arial" w:asciiTheme="minorEastAsia" w:hAnsiTheme="minorEastAsia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第三节法院调解的实施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第四节调解协议及其效力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第十二章简易程序与小额诉讼程序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第一节简易程序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第二节小额诉讼程序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第十三章第二审程序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第一节第二审程序概述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第二节上诉的提起和受理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第三节上诉案件的审理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第四节上诉案件的裁判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第十四章民事裁判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第一节民事判决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第二节民事裁定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第三节民事决定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第四节既判力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第五节公众对裁判文书的阅卷权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第十五章再审程序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第一节再审程序概述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第二节基于审判监督权的再审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第三节基于检察监督权抗诉的再审与检察建议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第四节申请再审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第五节再审事由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第六节再审案件的审理和裁判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第三编非诉讼程序论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第十六章非诉讼程序概述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第一节非诉讼程序与诉讼程序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第二节非诉讼程序适用范围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第三节我国非诉讼程序的立法完善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第十七章特别程序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第一节特别程序概述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第二节选民资格案件的审判程序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第三节宣告公民失踪案件的审判程序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第四节宣告公民死亡案件的审判程序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第五节认定公民无民事行为能力或者限制民事行为能力案件的 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第六节认定财产无主案件的审判程序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第七节确认调解协议案件的审理程序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第八节实现担保物权案件的审理程序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第十八章督促程序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第一节督促程序概述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第二节支付令的申请和受理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第三节支付令的发出和效力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第四节支付令异议和督促程序终结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第十九章公示催告程序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第一节公示催告程序概述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第二节公示催告案件的审理程序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第三节除权判决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第四编执行程序论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第二十章执行程序总论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第一节执行程序概述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第二节执行程序的一般规定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第三节执行程序的开始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第四节执行程序的进行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第五节执行程序的结束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第六节执行救济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第二十一章执行程序分论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第一节执行措施概述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第二节实现金钱债权的执行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第三节实现非金钱债权的执行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第四节保障性执行措施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第五编涉港澳台及涉外民事诉讼程序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第二十二章涉港澳台民事诉讼程序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第一节涉港澳台民事诉讼程序概述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第二节涉港澳台民事诉讼程序的特别规定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第三节区际民事司法协助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第二十三章涉外民事诉讼程序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第一节涉外民事诉讼程序概述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第二节涉外民事诉讼程序的一般原则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第三节涉外民事诉讼管辖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第四节涉外民事诉讼的期间和送达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cs="Arial" w:asciiTheme="minorEastAsia" w:hAnsiTheme="minorEastAsia"/>
          <w:color w:val="333333"/>
          <w:kern w:val="0"/>
          <w:sz w:val="28"/>
          <w:szCs w:val="28"/>
        </w:rPr>
        <w:t>第五节司法协助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5"/>
    <w:rsid w:val="000368BE"/>
    <w:rsid w:val="00104D92"/>
    <w:rsid w:val="00183BD2"/>
    <w:rsid w:val="00230A13"/>
    <w:rsid w:val="00397C7C"/>
    <w:rsid w:val="005C1D73"/>
    <w:rsid w:val="006572C4"/>
    <w:rsid w:val="009D7575"/>
    <w:rsid w:val="00F624BE"/>
    <w:rsid w:val="52431916"/>
    <w:rsid w:val="678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738</Words>
  <Characters>4207</Characters>
  <Lines>35</Lines>
  <Paragraphs>9</Paragraphs>
  <TotalTime>59</TotalTime>
  <ScaleCrop>false</ScaleCrop>
  <LinksUpToDate>false</LinksUpToDate>
  <CharactersWithSpaces>4936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2019-09-19T01:47:00Z</dcterms:created>
  <dc:creator>DELL</dc:creator>
  <cp:lastModifiedBy>1</cp:lastModifiedBy>
  <dcterms:modified xsi:type="dcterms:W3CDTF">2020-09-15T07:54:21Z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