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《金融学综合》考试大纲</w:t>
      </w:r>
    </w:p>
    <w:p>
      <w:pPr>
        <w:snapToGrid w:val="0"/>
        <w:rPr>
          <w:rFonts w:eastAsia="仿宋_GB2312"/>
          <w:b/>
          <w:sz w:val="44"/>
          <w:szCs w:val="44"/>
        </w:rPr>
      </w:pPr>
    </w:p>
    <w:p>
      <w:pPr>
        <w:snapToGrid w:val="0"/>
        <w:spacing w:before="156" w:beforeLines="50" w:after="156" w:afterLines="5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一、考试性质</w:t>
      </w:r>
    </w:p>
    <w:p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《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学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》是</w:t>
      </w:r>
      <w:r>
        <w:rPr>
          <w:rFonts w:hint="eastAsia" w:ascii="宋体" w:hAnsi="宋体"/>
          <w:szCs w:val="21"/>
        </w:rPr>
        <w:t>2011年金融</w:t>
      </w:r>
      <w:r>
        <w:rPr>
          <w:rFonts w:ascii="宋体" w:hAnsi="宋体"/>
          <w:szCs w:val="21"/>
        </w:rPr>
        <w:t>硕士（M</w:t>
      </w:r>
      <w:r>
        <w:rPr>
          <w:rFonts w:hint="eastAsia" w:ascii="宋体" w:hAnsi="宋体"/>
          <w:szCs w:val="21"/>
        </w:rPr>
        <w:t>F</w:t>
      </w:r>
      <w:r>
        <w:rPr>
          <w:rFonts w:ascii="宋体" w:hAnsi="宋体"/>
          <w:szCs w:val="21"/>
        </w:rPr>
        <w:t>）专业学位研究生入学</w:t>
      </w:r>
      <w:r>
        <w:rPr>
          <w:rFonts w:hint="eastAsia" w:ascii="宋体" w:hAnsi="宋体"/>
          <w:szCs w:val="21"/>
        </w:rPr>
        <w:t>统一</w:t>
      </w:r>
      <w:r>
        <w:rPr>
          <w:rFonts w:ascii="宋体" w:hAnsi="宋体"/>
          <w:szCs w:val="21"/>
        </w:rPr>
        <w:t>考试的科目之一。《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学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》考试</w:t>
      </w:r>
      <w:r>
        <w:rPr>
          <w:rFonts w:hint="eastAsia" w:ascii="宋体" w:hAnsi="宋体"/>
          <w:szCs w:val="21"/>
        </w:rPr>
        <w:t>要</w:t>
      </w:r>
      <w:r>
        <w:rPr>
          <w:rFonts w:ascii="宋体" w:hAnsi="宋体"/>
          <w:szCs w:val="21"/>
        </w:rPr>
        <w:t>力求反映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专业人才。</w:t>
      </w:r>
    </w:p>
    <w:p>
      <w:pPr>
        <w:snapToGrid w:val="0"/>
        <w:spacing w:before="156" w:beforeLines="50" w:after="156" w:afterLines="5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二、考试要求</w:t>
      </w:r>
    </w:p>
    <w:p>
      <w:pPr>
        <w:snapToGrid w:val="0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测试考生对</w:t>
      </w:r>
      <w:r>
        <w:rPr>
          <w:rFonts w:hint="eastAsia" w:ascii="宋体" w:hAnsi="宋体"/>
          <w:szCs w:val="21"/>
        </w:rPr>
        <w:t>于与金融学和公司财务相关</w:t>
      </w:r>
      <w:r>
        <w:rPr>
          <w:rFonts w:ascii="宋体" w:hAnsi="宋体"/>
          <w:szCs w:val="21"/>
        </w:rPr>
        <w:t>的基本概念、基础</w:t>
      </w:r>
      <w:r>
        <w:rPr>
          <w:rFonts w:hint="eastAsia" w:ascii="宋体" w:hAnsi="宋体"/>
          <w:szCs w:val="21"/>
        </w:rPr>
        <w:t>理论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掌握和运用能力</w:t>
      </w:r>
      <w:r>
        <w:rPr>
          <w:rFonts w:ascii="宋体" w:hAnsi="宋体"/>
          <w:szCs w:val="21"/>
        </w:rPr>
        <w:t>。</w:t>
      </w:r>
    </w:p>
    <w:p>
      <w:pPr>
        <w:snapToGrid w:val="0"/>
        <w:spacing w:before="156" w:beforeLines="50" w:after="156" w:afterLines="5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三、考试内容</w:t>
      </w:r>
    </w:p>
    <w:p>
      <w:pPr>
        <w:snapToGrid w:val="0"/>
        <w:ind w:firstLine="120" w:firstLineChars="50"/>
        <w:rPr>
          <w:rFonts w:hint="eastAsia" w:eastAsia="仿宋_GB2312"/>
          <w:b/>
          <w:sz w:val="24"/>
        </w:rPr>
      </w:pPr>
    </w:p>
    <w:p>
      <w:pPr>
        <w:snapToGrid w:val="0"/>
        <w:ind w:firstLine="2389" w:firstLineChars="850"/>
        <w:rPr>
          <w:rFonts w:hint="eastAsia" w:eastAsia="仿宋_GB2312"/>
          <w:b/>
          <w:sz w:val="28"/>
        </w:rPr>
      </w:pPr>
      <w:r>
        <w:rPr>
          <w:rFonts w:hint="eastAsia" w:eastAsia="仿宋_GB2312"/>
          <w:b/>
          <w:sz w:val="28"/>
        </w:rPr>
        <w:t>第一部分  金融学</w:t>
      </w:r>
    </w:p>
    <w:p>
      <w:pPr>
        <w:autoSpaceDE w:val="0"/>
        <w:autoSpaceDN w:val="0"/>
        <w:adjustRightInd w:val="0"/>
        <w:rPr>
          <w:rFonts w:hint="eastAsia"/>
          <w:b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一、货币与货币制度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货币的职能与货币制度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国际货币体系</w:t>
      </w:r>
    </w:p>
    <w:p>
      <w:pPr>
        <w:rPr>
          <w:rFonts w:hint="eastAsia"/>
          <w:b/>
          <w:szCs w:val="21"/>
        </w:rPr>
      </w:pPr>
    </w:p>
    <w:p>
      <w:pPr>
        <w:rPr>
          <w:rFonts w:hint="eastAsia" w:hAnsi="宋体"/>
          <w:b/>
          <w:szCs w:val="21"/>
        </w:rPr>
      </w:pPr>
      <w:r>
        <w:rPr>
          <w:rFonts w:hint="eastAsia"/>
          <w:b/>
          <w:szCs w:val="21"/>
        </w:rPr>
        <w:t>二、</w:t>
      </w:r>
      <w:r>
        <w:rPr>
          <w:rFonts w:hint="eastAsia" w:hAnsi="宋体"/>
          <w:b/>
          <w:szCs w:val="21"/>
        </w:rPr>
        <w:t>利息和利率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利息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利率决定理论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利率的期限结构</w:t>
      </w:r>
    </w:p>
    <w:p>
      <w:pPr>
        <w:ind w:left="216"/>
        <w:rPr>
          <w:rFonts w:hint="eastAsia"/>
        </w:rPr>
      </w:pPr>
      <w:r>
        <w:rPr>
          <w:rFonts w:hint="eastAsia" w:hAnsi="宋体"/>
        </w:rPr>
        <w:t>　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三、外汇与汇率</w:t>
      </w:r>
    </w:p>
    <w:p>
      <w:pPr>
        <w:rPr>
          <w:rFonts w:hint="eastAsia"/>
          <w:bCs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bCs/>
        </w:rPr>
        <w:t>外汇</w:t>
      </w:r>
    </w:p>
    <w:p>
      <w:pPr>
        <w:rPr>
          <w:rFonts w:hint="eastAsia"/>
          <w:bCs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bCs/>
        </w:rPr>
        <w:t>汇率与汇率制度</w:t>
      </w:r>
    </w:p>
    <w:p>
      <w:pPr>
        <w:rPr>
          <w:rFonts w:hint="eastAsia"/>
          <w:bCs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bCs/>
        </w:rPr>
        <w:t>币值、利率与汇率</w:t>
      </w:r>
    </w:p>
    <w:p>
      <w:pPr>
        <w:rPr>
          <w:rFonts w:hint="eastAsia"/>
          <w:bCs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bCs/>
        </w:rPr>
        <w:t>汇率决定理论</w:t>
      </w:r>
    </w:p>
    <w:p>
      <w:pPr>
        <w:pStyle w:val="5"/>
        <w:ind w:left="0" w:leftChars="0"/>
        <w:rPr>
          <w:rFonts w:hint="eastAsia"/>
        </w:rPr>
      </w:pPr>
    </w:p>
    <w:p>
      <w:pPr>
        <w:pStyle w:val="5"/>
        <w:ind w:left="0" w:leftChars="0"/>
        <w:rPr>
          <w:rFonts w:hint="eastAsia"/>
          <w:b/>
        </w:rPr>
      </w:pPr>
      <w:r>
        <w:rPr>
          <w:rFonts w:hint="eastAsia"/>
          <w:b/>
        </w:rPr>
        <w:t>四、</w:t>
      </w:r>
      <w:r>
        <w:rPr>
          <w:rFonts w:hint="eastAsia" w:hAnsi="宋体"/>
          <w:b/>
          <w:szCs w:val="21"/>
        </w:rPr>
        <w:t>金融市场与机构</w:t>
      </w:r>
    </w:p>
    <w:p>
      <w:pPr>
        <w:rPr>
          <w:rFonts w:hint="eastAsia" w:hAnsi="宋体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</w:rPr>
        <w:t>金融市场及其要素</w:t>
      </w:r>
    </w:p>
    <w:p>
      <w:pPr>
        <w:rPr>
          <w:rFonts w:hint="eastAsia" w:hAnsi="宋体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</w:rPr>
        <w:t>货币市场</w:t>
      </w:r>
    </w:p>
    <w:p>
      <w:pPr>
        <w:rPr>
          <w:rFonts w:hint="eastAsia" w:hAnsi="宋体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</w:rPr>
        <w:t>资本市场</w:t>
      </w:r>
    </w:p>
    <w:p>
      <w:pPr>
        <w:rPr>
          <w:rFonts w:hint="eastAsia" w:hAnsi="宋体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</w:rPr>
        <w:t>衍生工具市场</w:t>
      </w:r>
    </w:p>
    <w:p>
      <w:pPr>
        <w:rPr>
          <w:rFonts w:hint="eastAsia" w:hAnsi="宋体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</w:rPr>
        <w:t>金融机构（种类、功能）</w:t>
      </w:r>
    </w:p>
    <w:p>
      <w:pPr>
        <w:ind w:firstLine="200"/>
        <w:rPr>
          <w:rFonts w:hint="eastAsia" w:hAnsi="宋体"/>
        </w:rPr>
      </w:pPr>
    </w:p>
    <w:p>
      <w:pPr>
        <w:tabs>
          <w:tab w:val="left" w:pos="1992"/>
        </w:tabs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五、商业银行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商业银行的负债业务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商业银行的资产业务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商业银行的中间业务和表外业务</w:t>
      </w:r>
    </w:p>
    <w:p>
      <w:pPr>
        <w:rPr>
          <w:rFonts w:hint="eastAsia"/>
          <w:color w:val="000000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color w:val="000000"/>
        </w:rPr>
        <w:t>商业银行的风险特征</w:t>
      </w:r>
    </w:p>
    <w:p>
      <w:pPr>
        <w:ind w:left="210"/>
        <w:rPr>
          <w:rFonts w:hint="eastAsia"/>
          <w:color w:val="000000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六、现代货币创造机制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存款货币的创造机制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中央银行职能</w:t>
      </w:r>
    </w:p>
    <w:p>
      <w:pPr>
        <w:autoSpaceDE w:val="0"/>
        <w:autoSpaceDN w:val="0"/>
        <w:adjustRightInd w:val="0"/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中央银行体制下的货币创造过程</w:t>
      </w:r>
    </w:p>
    <w:p>
      <w:pPr>
        <w:rPr>
          <w:rFonts w:hint="eastAsia" w:ascii="宋体" w:hAnsi="宋体"/>
          <w:color w:val="000000"/>
          <w:sz w:val="22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七、货币供求与均衡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货币需求理论</w:t>
      </w:r>
    </w:p>
    <w:p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货币</w:t>
      </w:r>
      <w:r>
        <w:rPr>
          <w:rFonts w:hint="eastAsia"/>
          <w:bCs/>
        </w:rPr>
        <w:t>供给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bCs/>
        </w:rPr>
        <w:t>货币均衡</w:t>
      </w:r>
    </w:p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通货膨胀与通货紧缩</w:t>
      </w:r>
    </w:p>
    <w:p>
      <w:pPr>
        <w:rPr>
          <w:rFonts w:hint="eastAsia"/>
        </w:rPr>
      </w:pPr>
    </w:p>
    <w:p>
      <w:pPr>
        <w:pStyle w:val="2"/>
        <w:jc w:val="both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八、货币政策</w:t>
      </w:r>
    </w:p>
    <w:p>
      <w:pPr>
        <w:rPr>
          <w:rFonts w:hint="eastAsia"/>
          <w:bCs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bCs/>
        </w:rPr>
        <w:t>货币政策及其目标</w:t>
      </w:r>
    </w:p>
    <w:p>
      <w:pPr>
        <w:rPr>
          <w:rFonts w:hint="eastAsia"/>
          <w:bCs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bCs/>
        </w:rPr>
        <w:t>货币政策工具</w:t>
      </w:r>
    </w:p>
    <w:p>
      <w:pPr>
        <w:rPr>
          <w:rFonts w:hint="eastAsia"/>
          <w:bCs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bCs/>
        </w:rPr>
        <w:t>货币政策的传导机制和中介指标</w:t>
      </w: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九、国际收支与国际资本流动</w:t>
      </w:r>
    </w:p>
    <w:p>
      <w:pPr>
        <w:rPr>
          <w:rFonts w:hint="eastAsia"/>
          <w:bCs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bCs/>
        </w:rPr>
        <w:t>国际收支</w:t>
      </w:r>
    </w:p>
    <w:p>
      <w:pPr>
        <w:rPr>
          <w:rFonts w:hint="eastAsia"/>
          <w:bCs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bCs/>
        </w:rPr>
        <w:t>国际储备</w:t>
      </w:r>
    </w:p>
    <w:p>
      <w:pPr>
        <w:rPr>
          <w:rFonts w:hint="eastAsia"/>
          <w:bCs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bCs/>
        </w:rPr>
        <w:t>国际资本流动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十、金融监管</w:t>
      </w:r>
    </w:p>
    <w:p>
      <w:pPr>
        <w:rPr>
          <w:rFonts w:hint="eastAsia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</w:rPr>
        <w:t>金融监管理论</w:t>
      </w:r>
    </w:p>
    <w:p>
      <w:pPr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szCs w:val="21"/>
        </w:rPr>
        <w:t>巴塞尔协议</w:t>
      </w:r>
    </w:p>
    <w:p>
      <w:pPr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szCs w:val="21"/>
        </w:rPr>
        <w:t>金融机构监管</w:t>
      </w:r>
    </w:p>
    <w:p>
      <w:pPr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szCs w:val="21"/>
        </w:rPr>
        <w:t>金融市场监管</w:t>
      </w: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snapToGrid w:val="0"/>
        <w:rPr>
          <w:rFonts w:hint="eastAsia" w:eastAsia="仿宋_GB2312"/>
          <w:sz w:val="24"/>
        </w:rPr>
      </w:pPr>
    </w:p>
    <w:p>
      <w:pPr>
        <w:snapToGrid w:val="0"/>
        <w:ind w:firstLine="1968" w:firstLineChars="700"/>
        <w:rPr>
          <w:rFonts w:hint="eastAsia" w:eastAsia="仿宋_GB2312"/>
          <w:b/>
          <w:sz w:val="28"/>
          <w:szCs w:val="36"/>
        </w:rPr>
      </w:pPr>
      <w:r>
        <w:rPr>
          <w:rFonts w:hint="eastAsia" w:eastAsia="仿宋_GB2312"/>
          <w:b/>
          <w:sz w:val="28"/>
          <w:szCs w:val="36"/>
        </w:rPr>
        <w:t>第二部分　公司财务</w:t>
      </w:r>
    </w:p>
    <w:p>
      <w:pPr>
        <w:jc w:val="center"/>
        <w:rPr>
          <w:rFonts w:hint="eastAsia" w:hAnsi="宋体"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 w:hAnsi="宋体"/>
          <w:b/>
          <w:szCs w:val="21"/>
        </w:rPr>
        <w:t>一、公司财务概述</w:t>
      </w:r>
    </w:p>
    <w:p>
      <w:pPr>
        <w:rPr>
          <w:rFonts w:hint="eastAsia"/>
          <w:b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什么是公司财务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财务管理目标</w:t>
      </w:r>
    </w:p>
    <w:p>
      <w:pPr>
        <w:rPr>
          <w:rFonts w:hint="eastAsia" w:hAnsi="宋体"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 w:hAnsi="宋体"/>
          <w:b/>
          <w:szCs w:val="21"/>
        </w:rPr>
        <w:t>二、财务报表分析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会计报表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财务报表比率分析</w:t>
      </w:r>
    </w:p>
    <w:p>
      <w:pPr>
        <w:jc w:val="left"/>
        <w:rPr>
          <w:rFonts w:hint="eastAsia"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 w:hAnsi="宋体"/>
          <w:b/>
          <w:szCs w:val="21"/>
        </w:rPr>
        <w:t>三、长期财务规划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销售百分比法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外部融资与增长</w:t>
      </w:r>
    </w:p>
    <w:p>
      <w:pPr>
        <w:pStyle w:val="3"/>
        <w:rPr>
          <w:rFonts w:hint="eastAsia" w:hAnsi="宋体"/>
          <w:bCs w:val="0"/>
          <w:szCs w:val="21"/>
        </w:rPr>
      </w:pPr>
    </w:p>
    <w:p>
      <w:pPr>
        <w:jc w:val="left"/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四、折现与价值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现金流与折现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债券的估值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股票的估值</w:t>
      </w:r>
    </w:p>
    <w:p>
      <w:pPr>
        <w:jc w:val="left"/>
        <w:rPr>
          <w:rFonts w:hint="eastAsia"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 w:hAnsi="宋体"/>
          <w:b/>
          <w:szCs w:val="21"/>
        </w:rPr>
        <w:t>五、资本预算</w:t>
      </w:r>
    </w:p>
    <w:p>
      <w:pPr>
        <w:pStyle w:val="4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投资决策方法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增量现金流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净现值运用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szCs w:val="21"/>
        </w:rPr>
        <w:t>资本预算中的风险分析</w:t>
      </w:r>
    </w:p>
    <w:p>
      <w:pPr>
        <w:jc w:val="left"/>
        <w:rPr>
          <w:rFonts w:hint="eastAsia"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 w:hAnsi="宋体"/>
          <w:b/>
          <w:szCs w:val="21"/>
        </w:rPr>
        <w:t>六、风险与收益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风险与收益的度量</w:t>
      </w:r>
    </w:p>
    <w:p>
      <w:pPr>
        <w:jc w:val="left"/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szCs w:val="21"/>
        </w:rPr>
        <w:t>均值方差模型</w:t>
      </w:r>
    </w:p>
    <w:p>
      <w:pPr>
        <w:jc w:val="left"/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szCs w:val="21"/>
        </w:rPr>
        <w:t>资本资产定价模型</w:t>
      </w:r>
    </w:p>
    <w:p>
      <w:pPr>
        <w:jc w:val="left"/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szCs w:val="21"/>
        </w:rPr>
        <w:t>无套利定价模型</w:t>
      </w:r>
    </w:p>
    <w:p>
      <w:pPr>
        <w:rPr>
          <w:rFonts w:hint="eastAsia" w:hAnsi="宋体"/>
          <w:b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 w:hAnsi="宋体"/>
          <w:b/>
          <w:szCs w:val="21"/>
        </w:rPr>
        <w:t>七、加权平均资本成本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贝塔</w:t>
      </w:r>
      <w:r>
        <w:rPr>
          <w:rFonts w:hint="eastAsia"/>
          <w:szCs w:val="21"/>
        </w:rPr>
        <w:t>（</w:t>
      </w:r>
      <w:r>
        <w:rPr>
          <w:szCs w:val="21"/>
        </w:rPr>
        <w:sym w:font="Symbol" w:char="0062"/>
      </w:r>
      <w:r>
        <w:rPr>
          <w:rFonts w:hint="eastAsia"/>
          <w:szCs w:val="21"/>
        </w:rPr>
        <w:t>）</w:t>
      </w:r>
      <w:r>
        <w:rPr>
          <w:rFonts w:hint="eastAsia" w:hAnsi="宋体"/>
          <w:szCs w:val="21"/>
        </w:rPr>
        <w:t>的估计</w:t>
      </w:r>
    </w:p>
    <w:p>
      <w:pPr>
        <w:jc w:val="left"/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加权平均资本成本（WACC）</w:t>
      </w:r>
    </w:p>
    <w:p>
      <w:pPr>
        <w:rPr>
          <w:rFonts w:hint="eastAsia" w:hAnsi="宋体"/>
          <w:szCs w:val="21"/>
        </w:rPr>
      </w:pP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八、有效市场假说</w:t>
      </w:r>
    </w:p>
    <w:p>
      <w:pPr>
        <w:rPr>
          <w:rFonts w:hint="eastAsia" w:hAnsi="宋体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 w:hAnsi="宋体"/>
          <w:szCs w:val="21"/>
        </w:rPr>
        <w:t>有效资本市场的概念</w:t>
      </w:r>
    </w:p>
    <w:p>
      <w:pPr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>●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hAnsi="宋体"/>
          <w:szCs w:val="21"/>
        </w:rPr>
        <w:t>有效资本市场的形式</w:t>
      </w:r>
    </w:p>
    <w:p>
      <w:pPr>
        <w:jc w:val="left"/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>●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/>
          <w:szCs w:val="21"/>
        </w:rPr>
        <w:t>有效市场与公司财务</w:t>
      </w:r>
    </w:p>
    <w:p>
      <w:pPr>
        <w:rPr>
          <w:rFonts w:hint="eastAsia" w:hAnsi="宋体"/>
          <w:b/>
          <w:szCs w:val="21"/>
        </w:rPr>
      </w:pP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九、资本结构与公司价值</w:t>
      </w:r>
    </w:p>
    <w:p>
      <w:pPr>
        <w:jc w:val="left"/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szCs w:val="21"/>
        </w:rPr>
        <w:t>债务融资与股权融资</w:t>
      </w:r>
    </w:p>
    <w:p>
      <w:pPr>
        <w:jc w:val="left"/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szCs w:val="21"/>
        </w:rPr>
        <w:t>资本结构</w:t>
      </w:r>
    </w:p>
    <w:p>
      <w:pPr>
        <w:jc w:val="left"/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szCs w:val="21"/>
        </w:rPr>
        <w:t>MM定理</w:t>
      </w:r>
    </w:p>
    <w:p>
      <w:pPr>
        <w:jc w:val="left"/>
        <w:rPr>
          <w:rFonts w:hint="eastAsia" w:hAnsi="宋体"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 w:hAnsi="宋体"/>
          <w:b/>
          <w:szCs w:val="21"/>
        </w:rPr>
        <w:t>十、公司价值评估</w:t>
      </w:r>
    </w:p>
    <w:p>
      <w:pPr>
        <w:jc w:val="left"/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szCs w:val="21"/>
        </w:rPr>
        <w:t>公司价值评估的主要方法</w:t>
      </w:r>
    </w:p>
    <w:p>
      <w:pPr>
        <w:jc w:val="left"/>
        <w:rPr>
          <w:rFonts w:hint="eastAsia"/>
          <w:szCs w:val="21"/>
        </w:rPr>
      </w:pPr>
      <w:r>
        <w:rPr>
          <w:rFonts w:hint="eastAsia" w:ascii="宋体" w:hAnsi="宋体"/>
          <w:sz w:val="18"/>
          <w:szCs w:val="21"/>
        </w:rPr>
        <w:t xml:space="preserve">●  </w:t>
      </w:r>
      <w:r>
        <w:rPr>
          <w:rFonts w:hint="eastAsia"/>
          <w:szCs w:val="21"/>
        </w:rPr>
        <w:t>三种方法的应用与比较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宋体" w:hAnsi="宋体"/>
          <w:b/>
          <w:szCs w:val="21"/>
        </w:rPr>
      </w:pP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宋体" w:hAnsi="宋体"/>
          <w:b/>
          <w:szCs w:val="21"/>
        </w:rPr>
      </w:pPr>
    </w:p>
    <w:p>
      <w:pPr>
        <w:snapToGrid w:val="0"/>
        <w:spacing w:before="156" w:beforeLines="50" w:after="156" w:afterLines="50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四、考试方式与分值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本科目满分1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0分，</w:t>
      </w:r>
      <w:r>
        <w:rPr>
          <w:rFonts w:hint="eastAsia" w:ascii="宋体" w:hAnsi="宋体"/>
          <w:szCs w:val="21"/>
        </w:rPr>
        <w:t>其中，金融学部分为90分，公司财务部分为60分，</w:t>
      </w:r>
      <w:r>
        <w:rPr>
          <w:rFonts w:ascii="宋体" w:hAnsi="宋体"/>
          <w:szCs w:val="21"/>
        </w:rPr>
        <w:t>由各培养单位自行命题，全国统一考试。</w:t>
      </w:r>
    </w:p>
    <w:p>
      <w:pPr>
        <w:rPr>
          <w:rFonts w:ascii="宋体" w:hAnsi="宋体"/>
          <w:sz w:val="24"/>
        </w:rPr>
      </w:pPr>
    </w:p>
    <w:p>
      <w:pPr>
        <w:adjustRightInd w:val="0"/>
        <w:ind w:firstLine="420" w:firstLineChars="200"/>
        <w:rPr>
          <w:rFonts w:hint="eastAsia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行楷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332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方正行楷简体"/>
      <w:b/>
      <w:sz w:val="24"/>
      <w:szCs w:val="20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uiPriority w:val="0"/>
    <w:rPr>
      <w:b/>
      <w:bCs/>
    </w:r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2016-06-29T09:06:21Z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