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9年硕士研究生入学考试加试科目大纲</w:t>
      </w: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tbl>
      <w:tblPr>
        <w:tblStyle w:val="5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林学院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ascii="华文仿宋" w:hAnsi="华文仿宋" w:eastAsia="华文仿宋"/>
                <w:b/>
                <w:sz w:val="28"/>
                <w:szCs w:val="28"/>
              </w:rPr>
              <w:t>0951</w:t>
            </w: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32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资源利用与植物保护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js08土壤地理学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numPr>
                <w:numId w:val="0"/>
              </w:numPr>
              <w:spacing w:line="600" w:lineRule="exact"/>
              <w:ind w:left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（一）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土壤形成因素；</w:t>
            </w:r>
          </w:p>
          <w:p>
            <w:pPr>
              <w:pStyle w:val="8"/>
              <w:numPr>
                <w:numId w:val="0"/>
              </w:numPr>
              <w:spacing w:line="600" w:lineRule="exact"/>
              <w:ind w:left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（二）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土壤分类；</w:t>
            </w:r>
          </w:p>
          <w:p>
            <w:pPr>
              <w:pStyle w:val="8"/>
              <w:numPr>
                <w:numId w:val="0"/>
              </w:numPr>
              <w:spacing w:line="600" w:lineRule="exact"/>
              <w:ind w:left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（三）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土壤形成的地理基础；</w:t>
            </w:r>
          </w:p>
          <w:p>
            <w:pPr>
              <w:pStyle w:val="8"/>
              <w:numPr>
                <w:numId w:val="0"/>
              </w:numPr>
              <w:spacing w:line="600" w:lineRule="exact"/>
              <w:ind w:left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（四</w:t>
            </w:r>
            <w:bookmarkStart w:id="0" w:name="_GoBack"/>
            <w:bookmarkEnd w:id="0"/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主要土壤类型与地理分布规律：砖红壤、红壤、黄壤、黄棕壤、暗棕壤、盐碱土、石灰土、紫色土、山地土壤、土地评价、土地资源保护技术措施。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600" w:lineRule="exact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  <w:t>参考书目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  <w:p>
            <w:pPr>
              <w:spacing w:line="600" w:lineRule="exac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不指定参考书目，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考试范围以本考试大纲为准。</w:t>
            </w:r>
          </w:p>
        </w:tc>
      </w:tr>
    </w:tbl>
    <w:p>
      <w:pPr>
        <w:spacing w:line="600" w:lineRule="exact"/>
        <w:rPr>
          <w:sz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2EA"/>
    <w:rsid w:val="0018225F"/>
    <w:rsid w:val="00185DB3"/>
    <w:rsid w:val="002B55D1"/>
    <w:rsid w:val="003A35C1"/>
    <w:rsid w:val="005411F8"/>
    <w:rsid w:val="005D5131"/>
    <w:rsid w:val="00625DBE"/>
    <w:rsid w:val="00645F67"/>
    <w:rsid w:val="007F2BDF"/>
    <w:rsid w:val="007F691D"/>
    <w:rsid w:val="008C0C96"/>
    <w:rsid w:val="00E02934"/>
    <w:rsid w:val="00E442EA"/>
    <w:rsid w:val="00E568D9"/>
    <w:rsid w:val="00ED704E"/>
    <w:rsid w:val="00EE5E31"/>
    <w:rsid w:val="19C728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眉 Char1"/>
    <w:basedOn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  <w:style w:type="character" w:customStyle="1" w:styleId="9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49</Words>
  <Characters>282</Characters>
  <Lines>2</Lines>
  <Paragraphs>1</Paragraphs>
  <TotalTime>0</TotalTime>
  <ScaleCrop>false</ScaleCrop>
  <LinksUpToDate>false</LinksUpToDate>
  <CharactersWithSpaces>330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2018-07-11T08:21:00Z</dcterms:created>
  <dc:creator>HE</dc:creator>
  <cp:lastModifiedBy>Administrator</cp:lastModifiedBy>
  <dcterms:modified xsi:type="dcterms:W3CDTF">2018-09-30T02:36:14Z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